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65E94" w:rsidRPr="00E65E94" w:rsidTr="00E65E9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65E94" w:rsidRPr="00E65E9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5E94" w:rsidRPr="00E65E94" w:rsidRDefault="00E65E94" w:rsidP="00E65E94">
                  <w:pPr>
                    <w:spacing w:after="0" w:line="240" w:lineRule="atLeast"/>
                    <w:rPr>
                      <w:rFonts w:ascii="Times New Roman" w:eastAsia="Times New Roman" w:hAnsi="Times New Roman" w:cs="Times New Roman"/>
                      <w:sz w:val="24"/>
                      <w:szCs w:val="24"/>
                      <w:lang w:eastAsia="tr-TR"/>
                    </w:rPr>
                  </w:pPr>
                  <w:r w:rsidRPr="00E65E94">
                    <w:rPr>
                      <w:rFonts w:ascii="Arial" w:eastAsia="Times New Roman" w:hAnsi="Arial" w:cs="Arial"/>
                      <w:sz w:val="16"/>
                      <w:szCs w:val="16"/>
                      <w:lang w:eastAsia="tr-TR"/>
                    </w:rPr>
                    <w:t>2 Temmuz</w:t>
                  </w:r>
                  <w:r w:rsidRPr="00E65E94">
                    <w:rPr>
                      <w:rFonts w:ascii="Arial" w:eastAsia="Times New Roman" w:hAnsi="Arial" w:cs="Arial"/>
                      <w:sz w:val="16"/>
                      <w:lang w:eastAsia="tr-TR"/>
                    </w:rPr>
                    <w: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5E94" w:rsidRPr="00E65E94" w:rsidRDefault="00E65E94" w:rsidP="00E65E94">
                  <w:pPr>
                    <w:spacing w:after="0" w:line="240" w:lineRule="atLeast"/>
                    <w:jc w:val="center"/>
                    <w:rPr>
                      <w:rFonts w:ascii="Times New Roman" w:eastAsia="Times New Roman" w:hAnsi="Times New Roman" w:cs="Times New Roman"/>
                      <w:sz w:val="24"/>
                      <w:szCs w:val="24"/>
                      <w:lang w:eastAsia="tr-TR"/>
                    </w:rPr>
                  </w:pPr>
                  <w:r w:rsidRPr="00E65E9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65E94" w:rsidRPr="00E65E94" w:rsidRDefault="00E65E94" w:rsidP="00E65E9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65E94">
                    <w:rPr>
                      <w:rFonts w:ascii="Arial" w:eastAsia="Times New Roman" w:hAnsi="Arial" w:cs="Arial"/>
                      <w:sz w:val="16"/>
                      <w:szCs w:val="16"/>
                      <w:lang w:eastAsia="tr-TR"/>
                    </w:rPr>
                    <w:t>Sayı : 28695</w:t>
                  </w:r>
                  <w:proofErr w:type="gramEnd"/>
                </w:p>
              </w:tc>
            </w:tr>
            <w:tr w:rsidR="00E65E94" w:rsidRPr="00E65E94">
              <w:trPr>
                <w:trHeight w:val="480"/>
                <w:jc w:val="center"/>
              </w:trPr>
              <w:tc>
                <w:tcPr>
                  <w:tcW w:w="8789" w:type="dxa"/>
                  <w:gridSpan w:val="3"/>
                  <w:tcMar>
                    <w:top w:w="0" w:type="dxa"/>
                    <w:left w:w="108" w:type="dxa"/>
                    <w:bottom w:w="0" w:type="dxa"/>
                    <w:right w:w="108" w:type="dxa"/>
                  </w:tcMar>
                  <w:vAlign w:val="center"/>
                  <w:hideMark/>
                </w:tcPr>
                <w:p w:rsidR="00E65E94" w:rsidRPr="00E65E94" w:rsidRDefault="00E65E94" w:rsidP="00E65E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5E94">
                    <w:rPr>
                      <w:rFonts w:ascii="Arial" w:eastAsia="Times New Roman" w:hAnsi="Arial" w:cs="Arial"/>
                      <w:b/>
                      <w:bCs/>
                      <w:color w:val="000080"/>
                      <w:sz w:val="18"/>
                      <w:szCs w:val="18"/>
                      <w:lang w:eastAsia="tr-TR"/>
                    </w:rPr>
                    <w:t>YÖNETMELİK</w:t>
                  </w:r>
                </w:p>
              </w:tc>
            </w:tr>
            <w:tr w:rsidR="00E65E94" w:rsidRPr="00E65E94">
              <w:trPr>
                <w:trHeight w:val="480"/>
                <w:jc w:val="center"/>
              </w:trPr>
              <w:tc>
                <w:tcPr>
                  <w:tcW w:w="8789" w:type="dxa"/>
                  <w:gridSpan w:val="3"/>
                  <w:tcMar>
                    <w:top w:w="0" w:type="dxa"/>
                    <w:left w:w="108" w:type="dxa"/>
                    <w:bottom w:w="0" w:type="dxa"/>
                    <w:right w:w="108" w:type="dxa"/>
                  </w:tcMar>
                  <w:vAlign w:val="center"/>
                  <w:hideMark/>
                </w:tcPr>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Çalışma ve Sosyal Güvenlik Bakanlığından:</w:t>
                  </w:r>
                </w:p>
                <w:p w:rsidR="00E65E94" w:rsidRPr="00E65E94" w:rsidRDefault="00E65E94" w:rsidP="00E65E94">
                  <w:pPr>
                    <w:spacing w:before="56" w:after="100" w:afterAutospacing="1" w:line="217"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KİŞİSEL KORUYUCU DONANIMLARIN İŞYERLERİNDE</w:t>
                  </w:r>
                </w:p>
                <w:p w:rsidR="00E65E94" w:rsidRPr="00E65E94" w:rsidRDefault="00E65E94" w:rsidP="00E65E94">
                  <w:pPr>
                    <w:spacing w:before="100" w:beforeAutospacing="1" w:after="283" w:line="217"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KULLANILMASI HAKKINDA YÖNETMELİK</w:t>
                  </w:r>
                </w:p>
                <w:p w:rsidR="00E65E94" w:rsidRPr="00E65E94" w:rsidRDefault="00E65E94" w:rsidP="00E65E94">
                  <w:pPr>
                    <w:spacing w:before="100" w:beforeAutospacing="1" w:after="100" w:afterAutospacing="1" w:line="217"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BİRİNCİ BÖLÜM</w:t>
                  </w:r>
                </w:p>
                <w:p w:rsidR="00E65E94" w:rsidRPr="00E65E94" w:rsidRDefault="00E65E94" w:rsidP="00E65E94">
                  <w:pPr>
                    <w:spacing w:before="100" w:beforeAutospacing="1" w:after="85" w:line="217"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Amaç, Kapsam, Dayanak ve Tanımlar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Amaç</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1 –</w:t>
                  </w:r>
                  <w:r w:rsidRPr="00E65E94">
                    <w:rPr>
                      <w:rFonts w:ascii="Times New Roman" w:eastAsia="Times New Roman" w:hAnsi="Times New Roman" w:cs="Times New Roman"/>
                      <w:b/>
                      <w:bCs/>
                      <w:sz w:val="18"/>
                      <w:lang w:eastAsia="tr-TR"/>
                    </w:rPr>
                    <w:t> </w:t>
                  </w:r>
                  <w:r w:rsidRPr="00E65E94">
                    <w:rPr>
                      <w:rFonts w:ascii="Times New Roman" w:eastAsia="Times New Roman" w:hAnsi="Times New Roman" w:cs="Times New Roman"/>
                      <w:sz w:val="18"/>
                      <w:szCs w:val="18"/>
                      <w:lang w:eastAsia="tr-TR"/>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Kapsam</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2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Bu Yönetmelik,</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20/6/2012</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tarihli ve 6331 sayılı İş Sağlığı ve Güvenliği Kanunu kapsamında yer alan işyerlerini kapsar.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Bu Yönetmelik, aşağıda belirtilen kişisel koruyucu donanımları kapsamaz.</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 Özel olarak çalışanın sağlığını ve güvenliğini korumak üzere yapılmamış sıradan iş elbiseleri ve üniformalar,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 Afet ve acil durum birimlerinin müdahale faaliyetlerinde kullandıkları</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ekipman</w:t>
                  </w:r>
                  <w:proofErr w:type="gramEnd"/>
                  <w:r w:rsidRPr="00E65E94">
                    <w:rPr>
                      <w:rFonts w:ascii="Times New Roman" w:eastAsia="Times New Roman" w:hAnsi="Times New Roman" w:cs="Times New Roman"/>
                      <w:sz w:val="18"/>
                      <w:szCs w:val="18"/>
                      <w:lang w:eastAsia="tr-TR"/>
                    </w:rPr>
                    <w:t>,</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c) Türk Silahlı Kuvvetleri, genel kolluk kuvvetleri ve Milli İstihbarat Teşkilatı Müsteşarlığı gibi kamu düzeninin sağlanmasına yönelik kurumların faaliyetlerinde kullandıkları kişisel koruyucular,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ç) Kara taşımacılığında kullanılan kişisel koruyucular,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d) Spor</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ekipmanı</w:t>
                  </w:r>
                  <w:proofErr w:type="gramEnd"/>
                  <w:r w:rsidRPr="00E65E94">
                    <w:rPr>
                      <w:rFonts w:ascii="Times New Roman" w:eastAsia="Times New Roman" w:hAnsi="Times New Roman" w:cs="Times New Roman"/>
                      <w:sz w:val="18"/>
                      <w:szCs w:val="18"/>
                      <w:lang w:eastAsia="tr-TR"/>
                    </w:rPr>
                    <w:t>,</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e) Nefsi müdafaayı veya caydırmayı hedefleyen</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ekipman</w:t>
                  </w:r>
                  <w:proofErr w:type="gramEnd"/>
                  <w:r w:rsidRPr="00E65E94">
                    <w:rPr>
                      <w:rFonts w:ascii="Times New Roman" w:eastAsia="Times New Roman" w:hAnsi="Times New Roman" w:cs="Times New Roman"/>
                      <w:sz w:val="18"/>
                      <w:szCs w:val="18"/>
                      <w:lang w:eastAsia="tr-TR"/>
                    </w:rPr>
                    <w:t>,</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f) Riskleri ve istenmeyen durumları saptayan ve ikaz eden taşınabilir cihazlar.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Dayanak</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3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Bu Yönetmelik;</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20/6/2012</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tarihli ve 6331 sayılı İş Sağlığı ve Güvenliği Kanununun 30 uncu maddesine dayanılarak,</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30/11/1989</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tarihli ve 89/656/EEC sayılı Avrupa Birliği Konsey Direktifi ve 21/12/1989 tarihli ve 89/686/EEC sayılı Avrupa Birliği Konsey Direktifine paralel olarak,</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proofErr w:type="gramStart"/>
                  <w:r w:rsidRPr="00E65E94">
                    <w:rPr>
                      <w:rFonts w:ascii="Times New Roman" w:eastAsia="Times New Roman" w:hAnsi="Times New Roman" w:cs="Times New Roman"/>
                      <w:sz w:val="18"/>
                      <w:lang w:eastAsia="tr-TR"/>
                    </w:rPr>
                    <w:t>hazırlanmıştır</w:t>
                  </w:r>
                  <w:proofErr w:type="gramEnd"/>
                  <w:r w:rsidRPr="00E65E94">
                    <w:rPr>
                      <w:rFonts w:ascii="Times New Roman" w:eastAsia="Times New Roman" w:hAnsi="Times New Roman" w:cs="Times New Roman"/>
                      <w:sz w:val="18"/>
                      <w:szCs w:val="18"/>
                      <w:lang w:eastAsia="tr-TR"/>
                    </w:rPr>
                    <w:t>.</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Tanımlar</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lastRenderedPageBreak/>
                    <w:t>MADDE 4 –</w:t>
                  </w:r>
                  <w:r w:rsidRPr="00E65E94">
                    <w:rPr>
                      <w:rFonts w:ascii="Times New Roman" w:eastAsia="Times New Roman" w:hAnsi="Times New Roman" w:cs="Times New Roman"/>
                      <w:b/>
                      <w:bCs/>
                      <w:sz w:val="18"/>
                      <w:lang w:eastAsia="tr-TR"/>
                    </w:rPr>
                    <w:t> </w:t>
                  </w:r>
                  <w:r w:rsidRPr="00E65E94">
                    <w:rPr>
                      <w:rFonts w:ascii="Times New Roman" w:eastAsia="Times New Roman" w:hAnsi="Times New Roman" w:cs="Times New Roman"/>
                      <w:sz w:val="18"/>
                      <w:szCs w:val="18"/>
                      <w:lang w:eastAsia="tr-TR"/>
                    </w:rPr>
                    <w:t>(1) Bu Yönetmelikte geçen;</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 Bakanlık: Çalışma ve Sosyal Güvenlik Bakanlığını,</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 Kişisel koruyucu donanım:</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29/11/2006</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tarihli ve 26361 sayılı Resmî Gazete’de yayımlanan Kişisel Koruyucu Donanım Yönetmeliği esas alınmak üzere;</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Kişiyi bir veya birden fazla riske karşı korumak amacıyla üretici tarafından bir bütün haline getirilmiş cihaz, alet veya malzemeden oluşmuş donanımı,</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3) Belirli bir faaliyette bulunmak için korunma amacı olmaksızın taşınan veya giyilen donanımla birlikte kullanılan, ayrılabilir veya ayrılamaz nitelikteki koruyucu cihaz, alet veya malzemeyi,</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4) Kişisel koruyucu donanımın rahat ve işlevsel bir şekilde çalışması için gerekli olan ve sadece bu tür donanımlarla kullanılan değiştirilebilir parçalarını,</w:t>
                  </w:r>
                </w:p>
                <w:p w:rsidR="00E65E94" w:rsidRPr="00E65E94" w:rsidRDefault="00E65E94" w:rsidP="00E65E94">
                  <w:pPr>
                    <w:spacing w:before="100" w:beforeAutospacing="1" w:after="100" w:afterAutospacing="1" w:line="217" w:lineRule="atLeast"/>
                    <w:ind w:firstLine="566"/>
                    <w:rPr>
                      <w:rFonts w:ascii="Times New Roman" w:eastAsia="Times New Roman" w:hAnsi="Times New Roman" w:cs="Times New Roman"/>
                      <w:sz w:val="24"/>
                      <w:szCs w:val="24"/>
                      <w:lang w:eastAsia="tr-TR"/>
                    </w:rPr>
                  </w:pPr>
                  <w:proofErr w:type="gramStart"/>
                  <w:r w:rsidRPr="00E65E94">
                    <w:rPr>
                      <w:rFonts w:ascii="Times New Roman" w:eastAsia="Times New Roman" w:hAnsi="Times New Roman" w:cs="Times New Roman"/>
                      <w:sz w:val="18"/>
                      <w:lang w:eastAsia="tr-TR"/>
                    </w:rPr>
                    <w:t>ifade</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eder.</w:t>
                  </w:r>
                </w:p>
                <w:p w:rsidR="00E65E94" w:rsidRPr="00E65E94" w:rsidRDefault="00E65E94" w:rsidP="00E65E94">
                  <w:pPr>
                    <w:spacing w:before="85" w:after="100" w:afterAutospacing="1" w:line="223"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İKİNCİ BÖLÜM</w:t>
                  </w:r>
                </w:p>
                <w:p w:rsidR="00E65E94" w:rsidRPr="00E65E94" w:rsidRDefault="00E65E94" w:rsidP="00E65E94">
                  <w:pPr>
                    <w:spacing w:before="100" w:beforeAutospacing="1" w:after="85" w:line="223"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İşverenin Yükümlülükleri</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Genel kural</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5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Genel hükümler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6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Kişisel koruyucu donanımların işyerlerinde kullanımı ile ilgili olarak aşağıdaki hususlara uyulur;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 İşyerinde kullanılan kişisel koruyucu donanım, Kişisel Koruyucu Donanım Yönetmeliği hükümlerine uygun olarak tasarlanır ve üretilir. Tüm kişisel koruyucu donanımlar;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1) Kendisi ek risk oluşturmadan ilgili riski önlemeye uygun olur.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İşyerinde var olan koşullara uygun olur.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3) Kullananın ergonomik gereksinimlerine ve sağlık durumuna uygun olur.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4) Gerekli ayarlamalar yapıldığında kullanana tam uyar.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5) Kişisel Koruyucu Donanım Yönetmeliği kapsamına giren ürünlerde uygun şekilde CE işareti ve Türkçe kullanım kılavuzu bulundurur.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lastRenderedPageBreak/>
                    <w:t>c) Kişisel koruyucu donanımların kullanım şartları ve özellikle kullanılma süreleri; riskin derecesi,</w:t>
                  </w:r>
                  <w:r w:rsidRPr="00E65E94">
                    <w:rPr>
                      <w:rFonts w:ascii="Times New Roman" w:eastAsia="Times New Roman" w:hAnsi="Times New Roman" w:cs="Times New Roman"/>
                      <w:sz w:val="18"/>
                      <w:lang w:eastAsia="tr-TR"/>
                    </w:rPr>
                    <w:t> </w:t>
                  </w:r>
                  <w:proofErr w:type="spellStart"/>
                  <w:r w:rsidRPr="00E65E94">
                    <w:rPr>
                      <w:rFonts w:ascii="Times New Roman" w:eastAsia="Times New Roman" w:hAnsi="Times New Roman" w:cs="Times New Roman"/>
                      <w:sz w:val="18"/>
                      <w:lang w:eastAsia="tr-TR"/>
                    </w:rPr>
                    <w:t>maruziyet</w:t>
                  </w:r>
                  <w:r w:rsidRPr="00E65E94">
                    <w:rPr>
                      <w:rFonts w:ascii="Times New Roman" w:eastAsia="Times New Roman" w:hAnsi="Times New Roman" w:cs="Times New Roman"/>
                      <w:sz w:val="18"/>
                      <w:szCs w:val="18"/>
                      <w:lang w:eastAsia="tr-TR"/>
                    </w:rPr>
                    <w:t>sıklığı</w:t>
                  </w:r>
                  <w:proofErr w:type="spellEnd"/>
                  <w:r w:rsidRPr="00E65E94">
                    <w:rPr>
                      <w:rFonts w:ascii="Times New Roman" w:eastAsia="Times New Roman" w:hAnsi="Times New Roman" w:cs="Times New Roman"/>
                      <w:sz w:val="18"/>
                      <w:szCs w:val="18"/>
                      <w:lang w:eastAsia="tr-TR"/>
                    </w:rPr>
                    <w:t>, her bir çalışanın iş yaptığı yerin özellikleri ve kişisel koruyucu donanımın performansı dikkate alınarak belirlenir.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ç) Tek kişi tarafından kullanılması esas olan kişisel koruyucu donanımların, zorunlu hallerde birden fazla kişi tarafından kullanılmasını gerektiren durumlarda, bu kullanımdan dolayı sağlık ve</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hijyen</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problemi doğmaması için her türlü önlem alınır.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d) İşyerinde, her bir kişisel koruyucu donanım için, bu maddenin (a) ve (b) bentlerinde belirtilen hususlarla ilgili yeterli bilgi bulunur ve bu bilgilere kolayca ulaşılabilir.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e) Kişisel koruyucu donanımlar, işveren tarafından ücretsiz verilir, imalatçı tarafından sağlanacak kullanım kılavuzuna uygun olarak bakım, onarım ve periyodik kontrolleri yapılır, ihtiyaç duyulan parçaları değiştirilir,</w:t>
                  </w:r>
                  <w:r w:rsidRPr="00E65E94">
                    <w:rPr>
                      <w:rFonts w:ascii="Times New Roman" w:eastAsia="Times New Roman" w:hAnsi="Times New Roman" w:cs="Times New Roman"/>
                      <w:sz w:val="18"/>
                      <w:lang w:eastAsia="tr-TR"/>
                    </w:rPr>
                    <w:t> </w:t>
                  </w:r>
                  <w:proofErr w:type="spellStart"/>
                  <w:r w:rsidRPr="00E65E94">
                    <w:rPr>
                      <w:rFonts w:ascii="Times New Roman" w:eastAsia="Times New Roman" w:hAnsi="Times New Roman" w:cs="Times New Roman"/>
                      <w:sz w:val="18"/>
                      <w:lang w:eastAsia="tr-TR"/>
                    </w:rPr>
                    <w:t>hijyenik</w:t>
                  </w:r>
                  <w:r w:rsidRPr="00E65E94">
                    <w:rPr>
                      <w:rFonts w:ascii="Times New Roman" w:eastAsia="Times New Roman" w:hAnsi="Times New Roman" w:cs="Times New Roman"/>
                      <w:sz w:val="18"/>
                      <w:szCs w:val="18"/>
                      <w:lang w:eastAsia="tr-TR"/>
                    </w:rPr>
                    <w:t>şartlarda</w:t>
                  </w:r>
                  <w:proofErr w:type="spellEnd"/>
                  <w:r w:rsidRPr="00E65E94">
                    <w:rPr>
                      <w:rFonts w:ascii="Times New Roman" w:eastAsia="Times New Roman" w:hAnsi="Times New Roman" w:cs="Times New Roman"/>
                      <w:sz w:val="18"/>
                      <w:szCs w:val="18"/>
                      <w:lang w:eastAsia="tr-TR"/>
                    </w:rPr>
                    <w:t xml:space="preserve"> muhafaza edilir ve kullanıma hazır bulundurulur.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f) İşveren, kişisel koruyucu donanımları hangi risklere karşı kullanacağı konusunda çalışanı bilgilendirir.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g) İşveren, kişisel koruyucu donanımların kullanımı konusunda uygulamalı olarak eğitim verilmesini sağlar.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ğ) Kişisel koruyucu donanımlar, istisnai ve özel koşullar hariç, sadece amacına uygun olarak kullanılır.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h) Kişisel koruyucu donanımlar çalışanların kolayca erişebilecekleri yerlerde ve yeterli miktarlarda bulundurulur.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Kişisel koruyucu donanımlar talimatlara uygun olarak kullanılır, bakımı ve temizliği yapılır. Talimatlar çalışanlar tarafından anlaşılır olmak zorundadır.</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Kişisel koruyucu donanımların değerlendirilmesi ve seçimi</w:t>
                  </w:r>
                </w:p>
                <w:p w:rsidR="00E65E94" w:rsidRPr="00E65E94" w:rsidRDefault="00E65E94" w:rsidP="00E65E94">
                  <w:pPr>
                    <w:spacing w:before="100" w:beforeAutospacing="1" w:after="100" w:afterAutospacing="1" w:line="223"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7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İşveren, yapılacak risk değerlendirmesi sonucu alınacak iş sağlığı ve güvenliği tedbirleri ile kullanılması gereken kişisel koruyucu donanımı belirler.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İşyerinde kullanılacak kişisel koruyucu donanımlar aşağıda belirtilen hususlar göz önünde bulundurularak değerlendirilir;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a) İşveren, kişisel koruyucu donanımları seçmeden önce, koruyucuların bu Yönetmeliğin 6</w:t>
                  </w:r>
                  <w:r w:rsidRPr="00E65E94">
                    <w:rPr>
                      <w:rFonts w:ascii="Times New Roman" w:eastAsia="Times New Roman" w:hAnsi="Times New Roman" w:cs="Times New Roman"/>
                      <w:sz w:val="18"/>
                      <w:lang w:eastAsia="tr-TR"/>
                    </w:rPr>
                    <w:t> </w:t>
                  </w:r>
                  <w:proofErr w:type="spellStart"/>
                  <w:r w:rsidRPr="00E65E94">
                    <w:rPr>
                      <w:rFonts w:ascii="Times New Roman" w:eastAsia="Times New Roman" w:hAnsi="Times New Roman" w:cs="Times New Roman"/>
                      <w:sz w:val="18"/>
                      <w:lang w:eastAsia="tr-TR"/>
                    </w:rPr>
                    <w:t>ncı</w:t>
                  </w:r>
                  <w:proofErr w:type="spell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maddesinin (a) ve (b) bentlerindeki şartlara uygun olup olmadığını değerlendirir. Bu değerlendirme aşağıdaki hususları içerir;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1) Diğer yöntemlerle önlenemeyen risklerin analiz ve değerlendirmesi,</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Kişisel Koruyucu Donanımın kendisinden kaynaklanabilecek riskler göz önünde bulundurularak, bu maddenin (a) bendinin (1) numaralı alt bendinde belirtilen risklere karşı etkili olabilecek özelliklerinin tanımlanması,</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3) Seçilecek kişisel koruyucu donanımın özellikleri ile bu maddenin (a) bendinin (2) numaralı alt bendine göre belirlenen özelliklerin karşılaştırılması.</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b) Kişisel koruyucu donanımın herhangi bir parçasında değişiklik yapıldığı takdirde bu maddenin (a) bendindeki değerlendirme yeniden yapılır.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Kullanım kuralları</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8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5, 6 ve 7</w:t>
                  </w:r>
                  <w:r w:rsidRPr="00E65E94">
                    <w:rPr>
                      <w:rFonts w:ascii="Times New Roman" w:eastAsia="Times New Roman" w:hAnsi="Times New Roman" w:cs="Times New Roman"/>
                      <w:sz w:val="18"/>
                      <w:lang w:eastAsia="tr-TR"/>
                    </w:rPr>
                    <w:t> </w:t>
                  </w:r>
                  <w:proofErr w:type="spellStart"/>
                  <w:r w:rsidRPr="00E65E94">
                    <w:rPr>
                      <w:rFonts w:ascii="Times New Roman" w:eastAsia="Times New Roman" w:hAnsi="Times New Roman" w:cs="Times New Roman"/>
                      <w:sz w:val="18"/>
                      <w:lang w:eastAsia="tr-TR"/>
                    </w:rPr>
                    <w:t>nci</w:t>
                  </w:r>
                  <w:proofErr w:type="spell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lastRenderedPageBreak/>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Çalışanların bilgilendirilmesi</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9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İşveren, kişisel koruyucu donanımların kullanımı esnasında alınması gereken sağlık ve güvenlik önlemleri hakkında çalışanlara ve temsilcilerine bilgi verir.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Çalışanların görüşlerinin alınması ve katılımının sağlanması</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10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İşveren, bu Yönetmelik ve eklerinde belirtilen konularda 6331 sayılı Kanunun 18 inci maddesi hükümleri gereğince çalışanların veya temsilcilerinin görüşlerini alır ve katılımlarını sağlar.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(2) İşveren, destek elemanları ile çalışan temsilcilerinin, kullanılması gereken kişisel koruyucu donanımların belirlenmesi konularında önceden görüşlerinin alınmasını sağlar.</w:t>
                  </w:r>
                </w:p>
                <w:p w:rsidR="00E65E94" w:rsidRPr="00E65E94" w:rsidRDefault="00E65E94" w:rsidP="00E65E94">
                  <w:pPr>
                    <w:spacing w:before="85" w:after="100" w:afterAutospacing="1" w:line="221"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ÜÇÜNCÜ BÖLÜM</w:t>
                  </w:r>
                </w:p>
                <w:p w:rsidR="00E65E94" w:rsidRPr="00E65E94" w:rsidRDefault="00E65E94" w:rsidP="00E65E94">
                  <w:pPr>
                    <w:spacing w:before="100" w:beforeAutospacing="1" w:after="85" w:line="221" w:lineRule="atLeast"/>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Çeşitli ve Son Hükümler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Yürürlükten kaldırılan yönetmelik</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11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w:t>
                  </w:r>
                  <w:r w:rsidRPr="00E65E94">
                    <w:rPr>
                      <w:rFonts w:ascii="Times New Roman" w:eastAsia="Times New Roman" w:hAnsi="Times New Roman" w:cs="Times New Roman"/>
                      <w:sz w:val="18"/>
                      <w:lang w:eastAsia="tr-TR"/>
                    </w:rPr>
                    <w:t> </w:t>
                  </w:r>
                  <w:proofErr w:type="gramStart"/>
                  <w:r w:rsidRPr="00E65E94">
                    <w:rPr>
                      <w:rFonts w:ascii="Times New Roman" w:eastAsia="Times New Roman" w:hAnsi="Times New Roman" w:cs="Times New Roman"/>
                      <w:sz w:val="18"/>
                      <w:lang w:eastAsia="tr-TR"/>
                    </w:rPr>
                    <w:t>11/2/2004</w:t>
                  </w:r>
                  <w:proofErr w:type="gramEnd"/>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tarihli ve 25370 sayılı Resmî Gazete`de yayımlanan Kişisel Koruyucu Donanımların İşyerlerinde Kullanılması Hakkında Yönetmelik yürürlükten kaldırılmıştır.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Yürürlük</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12 –</w:t>
                  </w:r>
                  <w:r w:rsidRPr="00E65E94">
                    <w:rPr>
                      <w:rFonts w:ascii="Times New Roman" w:eastAsia="Times New Roman" w:hAnsi="Times New Roman" w:cs="Times New Roman"/>
                      <w:b/>
                      <w:bCs/>
                      <w:sz w:val="18"/>
                      <w:lang w:eastAsia="tr-TR"/>
                    </w:rPr>
                    <w:t> </w:t>
                  </w:r>
                  <w:r w:rsidRPr="00E65E94">
                    <w:rPr>
                      <w:rFonts w:ascii="Times New Roman" w:eastAsia="Times New Roman" w:hAnsi="Times New Roman" w:cs="Times New Roman"/>
                      <w:sz w:val="18"/>
                      <w:szCs w:val="18"/>
                      <w:lang w:eastAsia="tr-TR"/>
                    </w:rPr>
                    <w:t>(1) Bu Yönetmelik yayımı tarihinde yürürlüğe girer.</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Yürütme</w:t>
                  </w:r>
                </w:p>
                <w:p w:rsidR="00E65E94" w:rsidRPr="00E65E94" w:rsidRDefault="00E65E94" w:rsidP="00E65E94">
                  <w:pPr>
                    <w:spacing w:before="100" w:beforeAutospacing="1" w:after="100" w:afterAutospacing="1" w:line="221" w:lineRule="atLeast"/>
                    <w:ind w:firstLine="566"/>
                    <w:rPr>
                      <w:rFonts w:ascii="Times New Roman" w:eastAsia="Times New Roman" w:hAnsi="Times New Roman" w:cs="Times New Roman"/>
                      <w:sz w:val="24"/>
                      <w:szCs w:val="24"/>
                      <w:lang w:eastAsia="tr-TR"/>
                    </w:rPr>
                  </w:pPr>
                  <w:r w:rsidRPr="00E65E94">
                    <w:rPr>
                      <w:rFonts w:ascii="Times New Roman" w:eastAsia="Times New Roman" w:hAnsi="Times New Roman" w:cs="Times New Roman"/>
                      <w:b/>
                      <w:bCs/>
                      <w:sz w:val="18"/>
                      <w:szCs w:val="18"/>
                      <w:lang w:eastAsia="tr-TR"/>
                    </w:rPr>
                    <w:t>MADDE 13 –</w:t>
                  </w:r>
                  <w:r w:rsidRPr="00E65E94">
                    <w:rPr>
                      <w:rFonts w:ascii="Times New Roman" w:eastAsia="Times New Roman" w:hAnsi="Times New Roman" w:cs="Times New Roman"/>
                      <w:sz w:val="18"/>
                      <w:lang w:eastAsia="tr-TR"/>
                    </w:rPr>
                    <w:t> </w:t>
                  </w:r>
                  <w:r w:rsidRPr="00E65E94">
                    <w:rPr>
                      <w:rFonts w:ascii="Times New Roman" w:eastAsia="Times New Roman" w:hAnsi="Times New Roman" w:cs="Times New Roman"/>
                      <w:sz w:val="18"/>
                      <w:szCs w:val="18"/>
                      <w:lang w:eastAsia="tr-TR"/>
                    </w:rPr>
                    <w:t>(1) Bu Yönetmelik hükümlerini Çalışma ve Sosyal Güvenlik Bakanı yürütür.</w:t>
                  </w:r>
                </w:p>
                <w:p w:rsidR="00E65E94" w:rsidRPr="00E65E94" w:rsidRDefault="00E65E94" w:rsidP="00E65E94">
                  <w:pPr>
                    <w:spacing w:before="100" w:beforeAutospacing="1" w:after="100" w:afterAutospacing="1" w:line="221" w:lineRule="atLeast"/>
                    <w:jc w:val="center"/>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 </w:t>
                  </w:r>
                </w:p>
                <w:p w:rsidR="00E65E94" w:rsidRPr="00E65E94" w:rsidRDefault="00E65E94" w:rsidP="00E65E94">
                  <w:pPr>
                    <w:spacing w:before="100" w:beforeAutospacing="1" w:after="100" w:afterAutospacing="1" w:line="221" w:lineRule="atLeast"/>
                    <w:jc w:val="center"/>
                    <w:rPr>
                      <w:rFonts w:ascii="Times New Roman" w:eastAsia="Times New Roman" w:hAnsi="Times New Roman" w:cs="Times New Roman"/>
                      <w:sz w:val="24"/>
                      <w:szCs w:val="24"/>
                      <w:lang w:eastAsia="tr-TR"/>
                    </w:rPr>
                  </w:pPr>
                  <w:r w:rsidRPr="00E65E94">
                    <w:rPr>
                      <w:rFonts w:ascii="Times New Roman" w:eastAsia="Times New Roman" w:hAnsi="Times New Roman" w:cs="Times New Roman"/>
                      <w:sz w:val="18"/>
                      <w:szCs w:val="18"/>
                      <w:lang w:eastAsia="tr-TR"/>
                    </w:rPr>
                    <w:t> </w:t>
                  </w:r>
                </w:p>
                <w:p w:rsidR="00E65E94" w:rsidRPr="00E65E94" w:rsidRDefault="00E65E94" w:rsidP="00E65E94">
                  <w:pPr>
                    <w:spacing w:before="100" w:beforeAutospacing="1" w:after="100" w:afterAutospacing="1" w:line="221" w:lineRule="atLeast"/>
                    <w:rPr>
                      <w:rFonts w:ascii="Times New Roman" w:eastAsia="Times New Roman" w:hAnsi="Times New Roman" w:cs="Times New Roman"/>
                      <w:sz w:val="24"/>
                      <w:szCs w:val="24"/>
                      <w:lang w:eastAsia="tr-TR"/>
                    </w:rPr>
                  </w:pPr>
                  <w:hyperlink r:id="rId4" w:history="1">
                    <w:r w:rsidRPr="00E65E94">
                      <w:rPr>
                        <w:rFonts w:ascii="Times New Roman" w:eastAsia="Times New Roman" w:hAnsi="Times New Roman" w:cs="Times New Roman"/>
                        <w:b/>
                        <w:bCs/>
                        <w:color w:val="800080"/>
                        <w:sz w:val="18"/>
                        <w:lang w:eastAsia="tr-TR"/>
                      </w:rPr>
                      <w:t>Ekleri için tıklayınız.</w:t>
                    </w:r>
                  </w:hyperlink>
                </w:p>
                <w:p w:rsidR="00E65E94" w:rsidRPr="00E65E94" w:rsidRDefault="00E65E94" w:rsidP="00E65E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5E94">
                    <w:rPr>
                      <w:rFonts w:ascii="Arial" w:eastAsia="Times New Roman" w:hAnsi="Arial" w:cs="Arial"/>
                      <w:b/>
                      <w:bCs/>
                      <w:color w:val="000080"/>
                      <w:sz w:val="18"/>
                      <w:szCs w:val="18"/>
                      <w:lang w:eastAsia="tr-TR"/>
                    </w:rPr>
                    <w:t> </w:t>
                  </w:r>
                </w:p>
              </w:tc>
            </w:tr>
          </w:tbl>
          <w:p w:rsidR="00E65E94" w:rsidRPr="00E65E94" w:rsidRDefault="00E65E94" w:rsidP="00E65E94">
            <w:pPr>
              <w:spacing w:after="0" w:line="240" w:lineRule="auto"/>
              <w:rPr>
                <w:rFonts w:ascii="Times New Roman" w:eastAsia="Times New Roman" w:hAnsi="Times New Roman" w:cs="Times New Roman"/>
                <w:sz w:val="24"/>
                <w:szCs w:val="24"/>
                <w:lang w:eastAsia="tr-TR"/>
              </w:rPr>
            </w:pPr>
          </w:p>
        </w:tc>
      </w:tr>
    </w:tbl>
    <w:p w:rsidR="00E65E94" w:rsidRPr="00E65E94" w:rsidRDefault="00E65E94" w:rsidP="00E65E94">
      <w:pPr>
        <w:spacing w:after="0" w:line="240" w:lineRule="auto"/>
        <w:jc w:val="center"/>
        <w:rPr>
          <w:rFonts w:ascii="Times New Roman" w:eastAsia="Times New Roman" w:hAnsi="Times New Roman" w:cs="Times New Roman"/>
          <w:color w:val="000000"/>
          <w:sz w:val="27"/>
          <w:szCs w:val="27"/>
          <w:lang w:eastAsia="tr-TR"/>
        </w:rPr>
      </w:pPr>
      <w:r w:rsidRPr="00E65E94">
        <w:rPr>
          <w:rFonts w:ascii="Times New Roman" w:eastAsia="Times New Roman" w:hAnsi="Times New Roman" w:cs="Times New Roman"/>
          <w:color w:val="000000"/>
          <w:sz w:val="27"/>
          <w:szCs w:val="27"/>
          <w:lang w:eastAsia="tr-TR"/>
        </w:rPr>
        <w:lastRenderedPageBreak/>
        <w:t> </w:t>
      </w:r>
    </w:p>
    <w:p w:rsidR="00FC0235" w:rsidRDefault="00FC0235"/>
    <w:sectPr w:rsidR="00FC0235" w:rsidSect="00FC0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65E94"/>
    <w:rsid w:val="00E65E94"/>
    <w:rsid w:val="00FC02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5E94"/>
  </w:style>
  <w:style w:type="character" w:customStyle="1" w:styleId="grame">
    <w:name w:val="grame"/>
    <w:basedOn w:val="VarsaylanParagrafYazTipi"/>
    <w:rsid w:val="00E65E94"/>
  </w:style>
  <w:style w:type="paragraph" w:styleId="NormalWeb">
    <w:name w:val="Normal (Web)"/>
    <w:basedOn w:val="Normal"/>
    <w:uiPriority w:val="99"/>
    <w:unhideWhenUsed/>
    <w:rsid w:val="00E65E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5E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5E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5E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65E94"/>
  </w:style>
  <w:style w:type="character" w:styleId="Kpr">
    <w:name w:val="Hyperlink"/>
    <w:basedOn w:val="VarsaylanParagrafYazTipi"/>
    <w:uiPriority w:val="99"/>
    <w:semiHidden/>
    <w:unhideWhenUsed/>
    <w:rsid w:val="00E65E94"/>
    <w:rPr>
      <w:color w:val="0000FF"/>
      <w:u w:val="single"/>
    </w:rPr>
  </w:style>
</w:styles>
</file>

<file path=word/webSettings.xml><?xml version="1.0" encoding="utf-8"?>
<w:webSettings xmlns:r="http://schemas.openxmlformats.org/officeDocument/2006/relationships" xmlns:w="http://schemas.openxmlformats.org/wordprocessingml/2006/main">
  <w:divs>
    <w:div w:id="1903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7/20130702-2-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2013-08-27T11:57:00Z</dcterms:created>
  <dcterms:modified xsi:type="dcterms:W3CDTF">2013-08-27T11:57:00Z</dcterms:modified>
</cp:coreProperties>
</file>